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widowControl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wordWrap/>
        <w:adjustRightInd w:val="0"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现有职业卫生技术服务机构资质延续</w:t>
      </w:r>
    </w:p>
    <w:p>
      <w:pPr>
        <w:widowControl/>
        <w:wordWrap/>
        <w:adjustRightInd w:val="0"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新旧业务范围转并表</w:t>
      </w:r>
    </w:p>
    <w:p>
      <w:pPr>
        <w:widowControl/>
        <w:adjustRightIn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W w:w="8499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4137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业务范围类别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2012年版业务范围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</w:rPr>
              <w:t>新版业务范围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第一类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业务范围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煤炭采选业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采矿业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石油和天然气开采业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金属、非金属矿采选业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化工、石化及医药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化工、石化及医药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冶金、建材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冶金、建材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轻工、纺织、烟草加工制造业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机械制造、电力、纺织、建筑和交通运输等行业领域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机械、设备、电器制造业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工程建筑业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电力、燃气及水的生产和供应业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运输、仓储、科研、农林、公共服务业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第二类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业务范围</w:t>
            </w: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核电站、大型辐照装置和中、高能加速器</w:t>
            </w:r>
          </w:p>
        </w:tc>
        <w:tc>
          <w:tcPr>
            <w:tcW w:w="27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核设施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核燃料循环</w:t>
            </w:r>
          </w:p>
        </w:tc>
        <w:tc>
          <w:tcPr>
            <w:tcW w:w="27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41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核技术工业应用</w:t>
            </w:r>
          </w:p>
        </w:tc>
        <w:tc>
          <w:tcPr>
            <w:tcW w:w="27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核技术工业应用</w:t>
            </w:r>
          </w:p>
        </w:tc>
      </w:tr>
    </w:tbl>
    <w:p>
      <w:pPr>
        <w:widowControl/>
        <w:spacing w:line="340" w:lineRule="exact"/>
        <w:jc w:val="left"/>
        <w:textAlignment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注：现有机构资质延续时满足如下任一要求的，从“</w:t>
      </w:r>
      <w:r>
        <w:rPr>
          <w:rFonts w:ascii="仿宋_GB2312" w:hAnsi="仿宋_GB2312" w:cs="仿宋_GB2312"/>
          <w:sz w:val="24"/>
        </w:rPr>
        <w:t>2012年</w:t>
      </w:r>
      <w:r>
        <w:rPr>
          <w:rFonts w:hint="eastAsia" w:ascii="仿宋_GB2312" w:hAnsi="仿宋_GB2312" w:cs="仿宋_GB2312"/>
          <w:sz w:val="24"/>
        </w:rPr>
        <w:t>版业务范围”直接转并对应的“新版业务范围</w:t>
      </w:r>
      <w:r>
        <w:rPr>
          <w:rFonts w:hint="eastAsia" w:ascii="仿宋_GB2312" w:hAnsi="仿宋_GB2312" w:cs="仿宋_GB2312"/>
          <w:sz w:val="24"/>
          <w:lang w:eastAsia="zh-CN"/>
        </w:rPr>
        <w:t>”</w:t>
      </w:r>
      <w:r>
        <w:rPr>
          <w:rFonts w:hint="eastAsia" w:ascii="仿宋_GB2312" w:hAnsi="仿宋_GB2312" w:cs="仿宋_GB2312"/>
          <w:sz w:val="24"/>
        </w:rPr>
        <w:t>：1.从2017年1月1日至今完成相应行业职业卫生检测或评价项目不少于5项；2.需转并认定为新版业务范围的行业工程技术人员满足相应要求。</w:t>
      </w:r>
    </w:p>
    <w:p>
      <w:pPr>
        <w:ind w:right="560"/>
        <w:rPr>
          <w:color w:val="00000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531" w:bottom="1440" w:left="1531" w:header="850" w:footer="992" w:gutter="0"/>
      <w:paperSrc w:first="0" w:other="0"/>
      <w:pgNumType w:fmt="numberInDash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6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320" w:leftChars="100" w:right="320" w:rightChars="100" w:firstLine="0" w:firstLineChars="0"/>
                  <w:jc w:val="left"/>
                  <w:textAlignment w:val="auto"/>
                  <w:outlineLvl w:val="9"/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</w:rPr>
                </w:pP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t>- 72 -</w:t>
                </w:r>
                <w:r>
                  <w:rPr>
                    <w:rFonts w:hint="eastAsia" w:ascii="宋体" w:hAnsi="宋体" w:eastAsia="宋体" w:cs="宋体"/>
                    <w:b w:val="0"/>
                    <w:bCs w:val="0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1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paragraph" w:customStyle="1" w:styleId="9">
    <w:name w:val="样式1"/>
    <w:basedOn w:val="1"/>
    <w:qFormat/>
    <w:uiPriority w:val="0"/>
    <w:rPr>
      <w:rFonts w:ascii="仿宋_GB2312"/>
      <w:sz w:val="28"/>
    </w:rPr>
  </w:style>
  <w:style w:type="character" w:customStyle="1" w:styleId="10">
    <w:name w:val="标题 1 字符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1">
    <w:name w:val="副标题 字符"/>
    <w:link w:val="7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43</Pages>
  <Words>2484</Words>
  <Characters>14162</Characters>
  <Lines>118</Lines>
  <Paragraphs>33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2013-07-10T06:15:00Z</dcterms:created>
  <dc:creator>vv</dc:creator>
  <cp:lastModifiedBy>lenovo</cp:lastModifiedBy>
  <cp:lastPrinted>2021-02-24T03:13:00Z</cp:lastPrinted>
  <dcterms:modified xsi:type="dcterms:W3CDTF">2021-02-26T07:38:19Z</dcterms:modified>
  <dc:title>国家卫生健康委员会办公厅文件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