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40" w:lineRule="exact"/>
        <w:ind w:right="1600"/>
        <w:rPr>
          <w:rFonts w:ascii="黑体" w:hAnsi="黑体" w:eastAsia="黑体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bCs/>
          <w:sz w:val="32"/>
          <w:szCs w:val="32"/>
        </w:rPr>
        <w:t xml:space="preserve">附件 </w:t>
      </w:r>
      <w:r>
        <w:rPr>
          <w:rFonts w:ascii="黑体" w:hAnsi="黑体" w:eastAsia="黑体" w:cs="仿宋_GB2312"/>
          <w:bCs/>
          <w:sz w:val="32"/>
          <w:szCs w:val="32"/>
        </w:rPr>
        <w:t xml:space="preserve">                                               </w:t>
      </w:r>
    </w:p>
    <w:p>
      <w:pPr>
        <w:spacing w:line="640" w:lineRule="exact"/>
        <w:ind w:right="1600" w:firstLine="1440" w:firstLineChars="4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</w:t>
      </w:r>
      <w:r>
        <w:rPr>
          <w:rFonts w:ascii="仿宋_GB2312" w:hAnsi="仿宋_GB2312" w:eastAsia="仿宋_GB2312" w:cs="仿宋_GB2312"/>
          <w:bCs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年医疗机构放射卫生双随机监督</w:t>
      </w:r>
    </w:p>
    <w:p>
      <w:pPr>
        <w:spacing w:line="640" w:lineRule="exact"/>
        <w:ind w:right="1600" w:firstLine="1440" w:firstLineChars="450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检查单位名单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长白朝鲜族自治县人民医院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吉林大学第二医院民康医院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吉林油田江北医院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辽源市龙山区人民医院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九台区中医院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吉林友好医院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吉林省监狱管理局医院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北华大学附属医院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长春市绿园区中医院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辉南县人民医院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德惠福民医院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集安市医院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四平市中心人民医院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蛟河仁爱医院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前郭县中医院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白山市浑江区医院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通化市妇幼保健院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辉南县中医院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伊通满族自治县民族医院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吉林经济技术开发区医院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吉林市儿童医院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白山市传染病医院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吉林国盛弘医堂中医医院有限责任公司</w:t>
      </w:r>
    </w:p>
    <w:p>
      <w:pPr>
        <w:adjustRightInd w:val="0"/>
        <w:snapToGrid w:val="0"/>
        <w:spacing w:line="440" w:lineRule="exact"/>
        <w:ind w:right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长春安宁精神康复医院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</Words>
  <Characters>967</Characters>
  <Lines>8</Lines>
  <Paragraphs>2</Paragraphs>
  <TotalTime>0</TotalTime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2020-11-06T07:23:00Z</dcterms:created>
  <dc:creator>85117</dc:creator>
  <cp:lastModifiedBy>Administrator</cp:lastModifiedBy>
  <cp:lastPrinted>2020-11-09T00:46:00Z</cp:lastPrinted>
  <dcterms:modified xsi:type="dcterms:W3CDTF">2020-11-10T06:53:49Z</dcterms:modified>
  <dc:title>附件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